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Expected Outcomes</w:t>
      </w:r>
    </w:p>
    <w:p>
      <w:pPr>
        <w:pStyle w:val="Body"/>
        <w:rPr>
          <w:rFonts w:ascii="Helvetica" w:cs="Helvetica" w:hAnsi="Helvetica" w:eastAsia="Helvetica"/>
          <w:b w:val="1"/>
          <w:bCs w:val="1"/>
          <w:sz w:val="36"/>
          <w:szCs w:val="36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Expected outcomes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By the end of six sessions, participants should be able to: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Understand their personal gambling cycle and triggers. 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Recogni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s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e and challenge gambling-related thinking errors. 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Use practical techniques to manage urges without gambling. 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Implement financial safeguards (e.g., spending limits, blocking gambling sites, self-exclusion where appropriate). 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Develop a personali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s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ed relapse prevention plan. 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Identify ongoing sources of support to maintain recovery. </w:t>
      </w:r>
    </w:p>
    <w:p>
      <w:pPr>
        <w:pStyle w:val="Body"/>
        <w:tabs>
          <w:tab w:val="left" w:pos="720"/>
        </w:tabs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Because gambling disorder often involves financial, relationship, and emotional difficulties, many people benefit from additional support beyond six sessions, including financial counselling, peer support groups, and longer-term psychological therapy when needed.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36"/>
          <w:szCs w:val="36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  <w:lang w:val="en-US"/>
        </w:rPr>
        <w:t>Your Recovery Journey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t>I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1"/>
        </w:rPr>
        <w:t>’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d like clients to quickly understand how the process works.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For example: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Step 1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br w:type="textWrapping"/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Free 30-minute consultation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t>↓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Step 2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br w:type="textWrapping"/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Six personalised recovery coaching sessions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t>↓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Step 3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br w:type="textWrapping"/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Build confidence and long-term recovery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t>↓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Step 4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br w:type="textWrapping"/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Ongoing support if required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br w:type="page"/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  <w:lang w:val="en-US"/>
        </w:rPr>
        <w:t>Core themes throughout the programme</w:t>
      </w:r>
    </w:p>
    <w:p>
      <w:pPr>
        <w:pStyle w:val="Body"/>
        <w:numPr>
          <w:ilvl w:val="0"/>
          <w:numId w:val="4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Build motivation for lasting change. </w:t>
      </w:r>
    </w:p>
    <w:p>
      <w:pPr>
        <w:pStyle w:val="Body"/>
        <w:numPr>
          <w:ilvl w:val="0"/>
          <w:numId w:val="4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Reduce shame and encourage self-compassion. </w:t>
      </w:r>
    </w:p>
    <w:p>
      <w:pPr>
        <w:pStyle w:val="Body"/>
        <w:numPr>
          <w:ilvl w:val="0"/>
          <w:numId w:val="4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Strengthen awareness of triggers and emotional states. </w:t>
      </w:r>
    </w:p>
    <w:p>
      <w:pPr>
        <w:pStyle w:val="Body"/>
        <w:numPr>
          <w:ilvl w:val="0"/>
          <w:numId w:val="4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Challenge cognitive distortions that maintain gambling. </w:t>
      </w:r>
    </w:p>
    <w:p>
      <w:pPr>
        <w:pStyle w:val="Body"/>
        <w:numPr>
          <w:ilvl w:val="0"/>
          <w:numId w:val="4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Develop healthier ways to manage stress, boredom, and difficult emotions. </w:t>
      </w:r>
    </w:p>
    <w:p>
      <w:pPr>
        <w:pStyle w:val="Body"/>
        <w:numPr>
          <w:ilvl w:val="0"/>
          <w:numId w:val="4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Improve financial control and accountability. </w:t>
      </w:r>
    </w:p>
    <w:p>
      <w:pPr>
        <w:pStyle w:val="Body"/>
        <w:numPr>
          <w:ilvl w:val="0"/>
          <w:numId w:val="4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Build a sustainable support network. 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Between-session monitoring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Participants can keep a simple daily record of:</w:t>
      </w:r>
    </w:p>
    <w:p>
      <w:pPr>
        <w:pStyle w:val="Body"/>
        <w:numPr>
          <w:ilvl w:val="0"/>
          <w:numId w:val="6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Gambling urges (0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t>–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t xml:space="preserve">10) </w:t>
      </w:r>
    </w:p>
    <w:p>
      <w:pPr>
        <w:pStyle w:val="Body"/>
        <w:numPr>
          <w:ilvl w:val="0"/>
          <w:numId w:val="6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Whether gambling occurred </w:t>
      </w:r>
    </w:p>
    <w:p>
      <w:pPr>
        <w:pStyle w:val="Body"/>
        <w:numPr>
          <w:ilvl w:val="0"/>
          <w:numId w:val="6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Mood and stress levels </w:t>
      </w:r>
    </w:p>
    <w:p>
      <w:pPr>
        <w:pStyle w:val="Body"/>
        <w:numPr>
          <w:ilvl w:val="0"/>
          <w:numId w:val="6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Coping strategies used </w:t>
      </w:r>
    </w:p>
    <w:p>
      <w:pPr>
        <w:pStyle w:val="Body"/>
        <w:numPr>
          <w:ilvl w:val="0"/>
          <w:numId w:val="6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Recovery successes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7"/>
  </w:abstractNum>
  <w:abstractNum w:abstractNumId="1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5"/>
  </w:abstractNum>
  <w:abstractNum w:abstractNumId="3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6"/>
  </w:abstractNum>
  <w:abstractNum w:abstractNumId="5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7">
    <w:name w:val="Imported Style 7"/>
    <w:pPr>
      <w:numPr>
        <w:numId w:val="1"/>
      </w:numPr>
    </w:pPr>
  </w:style>
  <w:style w:type="numbering" w:styleId="Imported Style 5">
    <w:name w:val="Imported Style 5"/>
    <w:pPr>
      <w:numPr>
        <w:numId w:val="3"/>
      </w:numPr>
    </w:pPr>
  </w:style>
  <w:style w:type="numbering" w:styleId="Imported Style 6">
    <w:name w:val="Imported Style 6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