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34"/>
          <w:szCs w:val="3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34"/>
          <w:szCs w:val="34"/>
          <w:u w:color="000000"/>
          <w:rtl w:val="0"/>
          <w:lang w:val="en-US"/>
        </w:rPr>
        <w:t xml:space="preserve">Training &amp; Professional Practice </w:t>
      </w:r>
      <w:r>
        <w:rPr>
          <w:rFonts w:ascii="Aptos" w:cs="Aptos" w:hAnsi="Aptos" w:eastAsia="Aptos"/>
          <w:kern w:val="2"/>
          <w:sz w:val="34"/>
          <w:szCs w:val="34"/>
          <w:u w:color="000000"/>
          <w:rtl w:val="0"/>
        </w:rPr>
        <w:br w:type="textWrapping"/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Further to my professional qualification as noted on the website, please see below for further information on my training and professional practice: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 xml:space="preserve">Safeguarding Training 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Safeguarding training ensures I understand how to recognise and respond appropriately if a client may be at risk of harm or vulnerability.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This helps create a safe, respectful and supportive coaching environment where client wellbeing is always the highest priority.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5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Professional Practice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Professional coaching is about more than qualifications.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Every client deserves to feel safe, respected and listened to.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My coaching is delivered in accordance with professional standards, including: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Confidentiality and respect for your privacy.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Professional boundaries at all times.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A non-judgemental and compassionate approach.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Client-centred coaching tailored to your individual needs.</w:t>
      </w:r>
    </w:p>
    <w:p>
      <w:pPr>
        <w:pStyle w:val="Body"/>
        <w:numPr>
          <w:ilvl w:val="0"/>
          <w:numId w:val="2"/>
        </w:numPr>
        <w:bidi w:val="0"/>
        <w:spacing w:after="160" w:line="278" w:lineRule="auto"/>
        <w:ind w:right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Ongoing commitment to ethical practice and continuous professional development.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  <mc:AlternateContent>
          <mc:Choice Requires="wps">
            <w:drawing xmlns:a="http://schemas.openxmlformats.org/drawingml/2006/main">
              <wp:inline distT="0" distB="0" distL="0" distR="0">
                <wp:extent cx="5943600" cy="19050"/>
                <wp:effectExtent l="0" t="0" r="0" b="0"/>
                <wp:docPr id="1073741826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1905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468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b w:val="1"/>
          <w:bCs w:val="1"/>
          <w:kern w:val="2"/>
          <w:sz w:val="24"/>
          <w:szCs w:val="24"/>
          <w:u w:color="000000"/>
          <w:rtl w:val="0"/>
          <w:lang w:val="en-US"/>
        </w:rPr>
        <w:t>Experience You Can Trust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Professional qualifications are important, but they are only part of the picture.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The greatest qualification I bring is more than twenty-three years of lived recovery from gambling addiction.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Fonts w:ascii="Aptos" w:cs="Aptos" w:hAnsi="Aptos" w:eastAsia="Aptos"/>
          <w:kern w:val="2"/>
          <w:sz w:val="24"/>
          <w:szCs w:val="24"/>
          <w:u w:color="000000"/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I understand the fear, uncertainty and isolation that gambling can create because I've experienced it myself. I also know the hope, confidence and freedom that recovery can bring.</w:t>
      </w:r>
    </w:p>
    <w:p>
      <w:pPr>
        <w:pStyle w:val="Body"/>
        <w:bidi w:val="0"/>
        <w:spacing w:after="160" w:line="278" w:lineRule="auto"/>
        <w:ind w:left="0" w:right="0" w:firstLine="0"/>
        <w:jc w:val="left"/>
        <w:rPr>
          <w:rtl w:val="0"/>
        </w:rPr>
      </w:pPr>
      <w:r>
        <w:rPr>
          <w:rFonts w:ascii="Aptos" w:cs="Aptos" w:hAnsi="Aptos" w:eastAsia="Aptos"/>
          <w:kern w:val="2"/>
          <w:sz w:val="24"/>
          <w:szCs w:val="24"/>
          <w:u w:color="000000"/>
          <w:rtl w:val="0"/>
          <w:lang w:val="en-US"/>
        </w:rPr>
        <w:t>By combining lived experience with recognised professional training, I aim to provide coaching that is both compassionate and practical helping you build lasting recovery with confidence, dignity and hope.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8"/>
  </w:abstractNum>
  <w:abstractNum w:abstractNumId="1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8">
    <w:name w:val="Imported Style 8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